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E0D46">
      <w:pPr>
        <w:pStyle w:val="6"/>
        <w:autoSpaceDE/>
        <w:autoSpaceDN/>
        <w:snapToGrid w:val="0"/>
        <w:spacing w:line="600" w:lineRule="exact"/>
        <w:rPr>
          <w:rFonts w:hint="eastAsia" w:ascii="方正黑体_GBK" w:hAnsi="方正黑体_GBK" w:eastAsia="方正黑体_GBK" w:cs="方正黑体_GBK"/>
          <w:snapToGrid w:val="0"/>
          <w:kern w:val="21"/>
          <w:sz w:val="32"/>
          <w:szCs w:val="32"/>
        </w:rPr>
      </w:pPr>
      <w:r>
        <w:rPr>
          <w:rFonts w:hint="eastAsia" w:ascii="方正黑体_GBK" w:hAnsi="方正黑体_GBK" w:eastAsia="方正黑体_GBK" w:cs="方正黑体_GBK"/>
          <w:snapToGrid w:val="0"/>
          <w:kern w:val="21"/>
          <w:sz w:val="32"/>
          <w:szCs w:val="32"/>
        </w:rPr>
        <w:t>附件11</w:t>
      </w:r>
    </w:p>
    <w:p w14:paraId="5361F244">
      <w:pPr>
        <w:rPr>
          <w:rFonts w:ascii="等线" w:hAnsi="等线" w:eastAsia="等线"/>
          <w:color w:val="000000"/>
          <w:szCs w:val="22"/>
        </w:rPr>
      </w:pPr>
    </w:p>
    <w:p w14:paraId="3EF5EEBC">
      <w:pPr>
        <w:pStyle w:val="3"/>
        <w:adjustRightInd w:val="0"/>
        <w:snapToGrid w:val="0"/>
        <w:spacing w:line="600" w:lineRule="exact"/>
        <w:jc w:val="center"/>
        <w:rPr>
          <w:rFonts w:ascii="Times New Roman" w:hAnsi="Times New Roman" w:eastAsia="方正小标宋简体"/>
          <w:bCs/>
          <w:snapToGrid w:val="0"/>
          <w:color w:val="000000"/>
          <w:kern w:val="21"/>
          <w:sz w:val="44"/>
          <w:szCs w:val="44"/>
        </w:rPr>
      </w:pPr>
      <w:r>
        <w:rPr>
          <w:rFonts w:ascii="Times New Roman" w:hAnsi="Times New Roman" w:eastAsia="方正小标宋简体"/>
          <w:bCs/>
          <w:snapToGrid w:val="0"/>
          <w:color w:val="000000"/>
          <w:kern w:val="21"/>
          <w:sz w:val="44"/>
          <w:szCs w:val="44"/>
        </w:rPr>
        <w:t>糖料蔗机械化作业类型说明</w:t>
      </w:r>
    </w:p>
    <w:p w14:paraId="035B51E2">
      <w:pPr>
        <w:pStyle w:val="3"/>
        <w:adjustRightInd w:val="0"/>
        <w:snapToGrid w:val="0"/>
        <w:spacing w:line="600" w:lineRule="exact"/>
        <w:jc w:val="center"/>
        <w:rPr>
          <w:rFonts w:ascii="Times New Roman" w:hAnsi="Times New Roman"/>
          <w:b/>
          <w:bCs/>
          <w:snapToGrid w:val="0"/>
          <w:color w:val="000000"/>
          <w:kern w:val="21"/>
          <w:sz w:val="44"/>
          <w:szCs w:val="44"/>
        </w:rPr>
      </w:pPr>
    </w:p>
    <w:p w14:paraId="65B1A3EC">
      <w:pPr>
        <w:pStyle w:val="3"/>
        <w:adjustRightInd w:val="0"/>
        <w:snapToGrid w:val="0"/>
        <w:spacing w:line="600" w:lineRule="exact"/>
        <w:ind w:firstLine="640" w:firstLineChars="200"/>
        <w:jc w:val="both"/>
        <w:rPr>
          <w:rFonts w:ascii="Times New Roman" w:hAnsi="Times New Roman" w:eastAsia="仿宋_GB2312"/>
          <w:snapToGrid w:val="0"/>
          <w:color w:val="000000"/>
          <w:kern w:val="21"/>
          <w:sz w:val="32"/>
          <w:szCs w:val="32"/>
        </w:rPr>
      </w:pPr>
      <w:r>
        <w:rPr>
          <w:rFonts w:ascii="Times New Roman" w:hAnsi="Times New Roman" w:eastAsia="仿宋_GB2312"/>
          <w:snapToGrid w:val="0"/>
          <w:color w:val="000000"/>
          <w:kern w:val="21"/>
          <w:sz w:val="32"/>
          <w:szCs w:val="32"/>
        </w:rPr>
        <w:t>1.0.9</w:t>
      </w:r>
      <w:r>
        <w:rPr>
          <w:rFonts w:hint="eastAsia" w:ascii="Times New Roman" w:hAnsi="Times New Roman" w:eastAsia="仿宋_GB2312"/>
          <w:snapToGrid w:val="0"/>
          <w:color w:val="000000"/>
          <w:kern w:val="21"/>
          <w:sz w:val="32"/>
          <w:szCs w:val="32"/>
        </w:rPr>
        <w:t>—</w:t>
      </w:r>
      <w:r>
        <w:rPr>
          <w:rFonts w:ascii="Times New Roman" w:hAnsi="Times New Roman" w:eastAsia="仿宋_GB2312"/>
          <w:snapToGrid w:val="0"/>
          <w:color w:val="000000"/>
          <w:kern w:val="21"/>
          <w:sz w:val="32"/>
          <w:szCs w:val="32"/>
        </w:rPr>
        <w:t>1.2米行距的机械化耕作是指新植蔗采用机械化耕作</w:t>
      </w:r>
      <w:r>
        <w:rPr>
          <w:rFonts w:hint="eastAsia" w:ascii="Times New Roman" w:hAnsi="Times New Roman" w:eastAsia="仿宋_GB2312"/>
          <w:snapToGrid w:val="0"/>
          <w:color w:val="000000"/>
          <w:kern w:val="21"/>
          <w:sz w:val="32"/>
          <w:szCs w:val="32"/>
        </w:rPr>
        <w:t>方式，单一行距的连续3行的平均行距大于等于0.9米小于1.2米，宽窄行的连续3个宽行的平均行距大于等于0.9米小于1.2米；</w:t>
      </w:r>
      <w:r>
        <w:rPr>
          <w:rFonts w:ascii="Times New Roman" w:hAnsi="Times New Roman" w:eastAsia="仿宋_GB2312"/>
          <w:snapToGrid w:val="0"/>
          <w:color w:val="000000"/>
          <w:kern w:val="21"/>
          <w:sz w:val="32"/>
          <w:szCs w:val="32"/>
        </w:rPr>
        <w:t>1.2米</w:t>
      </w:r>
      <w:r>
        <w:rPr>
          <w:rFonts w:hint="eastAsia" w:ascii="Times New Roman" w:hAnsi="Times New Roman" w:eastAsia="仿宋_GB2312"/>
          <w:snapToGrid w:val="0"/>
          <w:color w:val="000000"/>
          <w:kern w:val="21"/>
          <w:sz w:val="32"/>
          <w:szCs w:val="32"/>
        </w:rPr>
        <w:t>及以上</w:t>
      </w:r>
      <w:r>
        <w:rPr>
          <w:rFonts w:ascii="Times New Roman" w:hAnsi="Times New Roman" w:eastAsia="仿宋_GB2312"/>
          <w:snapToGrid w:val="0"/>
          <w:color w:val="000000"/>
          <w:kern w:val="21"/>
          <w:sz w:val="32"/>
          <w:szCs w:val="32"/>
        </w:rPr>
        <w:t>行距的机械化耕作是指新植蔗采用机械化耕作</w:t>
      </w:r>
      <w:r>
        <w:rPr>
          <w:rFonts w:hint="eastAsia" w:ascii="Times New Roman" w:hAnsi="Times New Roman" w:eastAsia="仿宋_GB2312"/>
          <w:snapToGrid w:val="0"/>
          <w:color w:val="000000"/>
          <w:kern w:val="21"/>
          <w:sz w:val="32"/>
          <w:szCs w:val="32"/>
        </w:rPr>
        <w:t>方式，单一行距的连续3行的平均行距大于等于1.2米，宽窄行的连续3个宽行的平均行距大于等于1.2米。</w:t>
      </w:r>
    </w:p>
    <w:p w14:paraId="59310447">
      <w:pPr>
        <w:pStyle w:val="3"/>
        <w:adjustRightInd w:val="0"/>
        <w:snapToGrid w:val="0"/>
        <w:spacing w:line="600" w:lineRule="exact"/>
        <w:ind w:firstLine="640" w:firstLineChars="200"/>
        <w:jc w:val="both"/>
        <w:rPr>
          <w:rFonts w:ascii="Times New Roman" w:hAnsi="Times New Roman" w:eastAsia="仿宋_GB2312"/>
          <w:snapToGrid w:val="0"/>
          <w:color w:val="000000"/>
          <w:kern w:val="21"/>
          <w:sz w:val="32"/>
          <w:szCs w:val="32"/>
        </w:rPr>
      </w:pPr>
      <w:r>
        <w:rPr>
          <w:rFonts w:ascii="Times New Roman" w:hAnsi="Times New Roman" w:eastAsia="仿宋_GB2312"/>
          <w:snapToGrid w:val="0"/>
          <w:color w:val="000000"/>
          <w:kern w:val="21"/>
          <w:sz w:val="32"/>
          <w:szCs w:val="32"/>
        </w:rPr>
        <w:t>2.联合机收是指使用一次完成将甘蔗茎秆割断、蔗叶分离、蔗茎收集（自带收集装置或与其他装置配合完成收集）等作业的甘蔗联合收获机进行糖料蔗收获的作业。按收获方式（收获时是否对整条的蔗茎进行切段）可分为整秆式甘蔗联合收获和切段式甘蔗联合收获。</w:t>
      </w:r>
    </w:p>
    <w:p w14:paraId="4F930753">
      <w:pPr>
        <w:pStyle w:val="3"/>
        <w:adjustRightInd w:val="0"/>
        <w:snapToGrid w:val="0"/>
        <w:spacing w:line="600" w:lineRule="exact"/>
        <w:ind w:firstLine="640" w:firstLineChars="200"/>
        <w:jc w:val="both"/>
        <w:rPr>
          <w:rFonts w:ascii="Times New Roman" w:hAnsi="Times New Roman" w:eastAsia="仿宋_GB2312"/>
          <w:snapToGrid w:val="0"/>
          <w:kern w:val="21"/>
          <w:sz w:val="32"/>
          <w:szCs w:val="32"/>
        </w:rPr>
      </w:pPr>
      <w:r>
        <w:rPr>
          <w:rFonts w:ascii="Times New Roman" w:hAnsi="Times New Roman" w:eastAsia="仿宋_GB2312"/>
          <w:snapToGrid w:val="0"/>
          <w:kern w:val="21"/>
          <w:sz w:val="32"/>
          <w:szCs w:val="32"/>
        </w:rPr>
        <w:t>3.机械化集中除杂是指使用通过省级农机鉴定部门鉴定，具有小时作业量10吨以上高效除杂能力的糖料蔗除杂成套设备（设施），对糖料蔗进行集中高效切段除杂的作业。</w:t>
      </w:r>
    </w:p>
    <w:p w14:paraId="4DBAD870">
      <w:pPr>
        <w:pStyle w:val="3"/>
        <w:adjustRightInd w:val="0"/>
        <w:snapToGrid w:val="0"/>
        <w:spacing w:line="600" w:lineRule="exact"/>
        <w:ind w:firstLine="640" w:firstLineChars="200"/>
        <w:jc w:val="both"/>
        <w:rPr>
          <w:rFonts w:ascii="Times New Roman" w:hAnsi="Times New Roman" w:eastAsia="仿宋_GB2312"/>
          <w:snapToGrid w:val="0"/>
          <w:color w:val="000000"/>
          <w:kern w:val="21"/>
          <w:sz w:val="32"/>
          <w:szCs w:val="32"/>
        </w:rPr>
      </w:pPr>
      <w:r>
        <w:rPr>
          <w:rFonts w:hint="eastAsia" w:ascii="Times New Roman" w:hAnsi="Times New Roman" w:eastAsia="仿宋_GB2312"/>
          <w:snapToGrid w:val="0"/>
          <w:kern w:val="21"/>
          <w:sz w:val="32"/>
          <w:szCs w:val="32"/>
        </w:rPr>
        <w:t>4</w:t>
      </w:r>
      <w:r>
        <w:rPr>
          <w:rFonts w:ascii="Times New Roman" w:hAnsi="Times New Roman" w:eastAsia="仿宋_GB2312"/>
          <w:snapToGrid w:val="0"/>
          <w:kern w:val="21"/>
          <w:sz w:val="32"/>
          <w:szCs w:val="32"/>
        </w:rPr>
        <w:t>.</w:t>
      </w:r>
      <w:r>
        <w:rPr>
          <w:rFonts w:hint="eastAsia" w:ascii="Times New Roman" w:hAnsi="Times New Roman" w:eastAsia="仿宋_GB2312"/>
          <w:snapToGrid w:val="0"/>
          <w:kern w:val="21"/>
          <w:sz w:val="32"/>
          <w:szCs w:val="32"/>
        </w:rPr>
        <w:t>机械化</w:t>
      </w:r>
      <w:r>
        <w:rPr>
          <w:rFonts w:ascii="Times New Roman" w:hAnsi="Times New Roman" w:eastAsia="仿宋_GB2312"/>
          <w:snapToGrid w:val="0"/>
          <w:kern w:val="21"/>
          <w:sz w:val="32"/>
          <w:szCs w:val="32"/>
        </w:rPr>
        <w:t>田间</w:t>
      </w:r>
      <w:r>
        <w:rPr>
          <w:rFonts w:hint="eastAsia" w:ascii="Times New Roman" w:hAnsi="Times New Roman" w:eastAsia="仿宋_GB2312"/>
          <w:snapToGrid w:val="0"/>
          <w:kern w:val="21"/>
          <w:sz w:val="32"/>
          <w:szCs w:val="32"/>
        </w:rPr>
        <w:t>集堆</w:t>
      </w:r>
      <w:r>
        <w:rPr>
          <w:rFonts w:ascii="Times New Roman" w:hAnsi="Times New Roman" w:eastAsia="仿宋_GB2312"/>
          <w:snapToGrid w:val="0"/>
          <w:kern w:val="21"/>
          <w:sz w:val="32"/>
          <w:szCs w:val="32"/>
        </w:rPr>
        <w:t>高效整秆除杂</w:t>
      </w:r>
      <w:r>
        <w:rPr>
          <w:rFonts w:hint="eastAsia" w:ascii="Times New Roman" w:hAnsi="Times New Roman" w:eastAsia="仿宋_GB2312"/>
          <w:snapToGrid w:val="0"/>
          <w:kern w:val="21"/>
          <w:sz w:val="32"/>
          <w:szCs w:val="32"/>
        </w:rPr>
        <w:t>是指</w:t>
      </w:r>
      <w:r>
        <w:rPr>
          <w:rFonts w:ascii="Times New Roman" w:hAnsi="Times New Roman" w:eastAsia="仿宋_GB2312"/>
          <w:snapToGrid w:val="0"/>
          <w:kern w:val="21"/>
          <w:sz w:val="32"/>
          <w:szCs w:val="32"/>
        </w:rPr>
        <w:t>对实际生产中使用通过省级农机鉴定部门鉴定，具有小时作业量6吨以上高效整秆式除杂能力的糖料蔗除杂成套设</w:t>
      </w:r>
      <w:r>
        <w:rPr>
          <w:rFonts w:ascii="Times New Roman" w:hAnsi="Times New Roman" w:eastAsia="仿宋_GB2312"/>
          <w:snapToGrid w:val="0"/>
          <w:color w:val="000000"/>
          <w:kern w:val="21"/>
          <w:sz w:val="32"/>
          <w:szCs w:val="32"/>
        </w:rPr>
        <w:t>备（设施），对糖料蔗进行集中或田间移动</w:t>
      </w:r>
      <w:r>
        <w:rPr>
          <w:rFonts w:hint="eastAsia" w:ascii="Times New Roman" w:hAnsi="Times New Roman" w:eastAsia="仿宋_GB2312"/>
          <w:snapToGrid w:val="0"/>
          <w:color w:val="000000"/>
          <w:kern w:val="21"/>
          <w:sz w:val="32"/>
          <w:szCs w:val="32"/>
        </w:rPr>
        <w:t>集堆</w:t>
      </w:r>
      <w:r>
        <w:rPr>
          <w:rFonts w:ascii="Times New Roman" w:hAnsi="Times New Roman" w:eastAsia="仿宋_GB2312"/>
          <w:snapToGrid w:val="0"/>
          <w:color w:val="000000"/>
          <w:kern w:val="21"/>
          <w:sz w:val="32"/>
          <w:szCs w:val="32"/>
        </w:rPr>
        <w:t>高效除杂</w:t>
      </w:r>
      <w:r>
        <w:rPr>
          <w:rFonts w:hint="eastAsia" w:ascii="Times New Roman" w:hAnsi="Times New Roman" w:eastAsia="仿宋_GB2312"/>
          <w:snapToGrid w:val="0"/>
          <w:color w:val="000000"/>
          <w:kern w:val="21"/>
          <w:sz w:val="32"/>
          <w:szCs w:val="32"/>
        </w:rPr>
        <w:t>的</w:t>
      </w:r>
      <w:r>
        <w:rPr>
          <w:rFonts w:ascii="Times New Roman" w:hAnsi="Times New Roman" w:eastAsia="仿宋_GB2312"/>
          <w:snapToGrid w:val="0"/>
          <w:color w:val="000000"/>
          <w:kern w:val="21"/>
          <w:sz w:val="32"/>
          <w:szCs w:val="32"/>
        </w:rPr>
        <w:t>作业。</w:t>
      </w:r>
    </w:p>
    <w:p w14:paraId="15B47066">
      <w:pPr>
        <w:pStyle w:val="3"/>
        <w:adjustRightInd w:val="0"/>
        <w:snapToGrid w:val="0"/>
        <w:spacing w:line="600" w:lineRule="exact"/>
        <w:ind w:firstLine="640" w:firstLineChars="200"/>
        <w:jc w:val="both"/>
        <w:rPr>
          <w:rFonts w:ascii="Times New Roman" w:hAnsi="Times New Roman" w:eastAsia="仿宋_GB2312"/>
          <w:snapToGrid w:val="0"/>
          <w:color w:val="000000"/>
          <w:kern w:val="21"/>
          <w:sz w:val="32"/>
          <w:szCs w:val="32"/>
        </w:rPr>
      </w:pPr>
      <w:r>
        <w:rPr>
          <w:rFonts w:ascii="Times New Roman" w:hAnsi="Times New Roman" w:eastAsia="仿宋_GB2312"/>
          <w:snapToGrid w:val="0"/>
          <w:color w:val="000000"/>
          <w:kern w:val="21"/>
          <w:sz w:val="32"/>
          <w:szCs w:val="32"/>
        </w:rPr>
        <w:t>5.机械化割铺收获是指使用甘蔗割铺机、电动甘蔗剪（中杆弯头式果树修剪机）等对糖料蔗进行割铺的作业。</w:t>
      </w:r>
    </w:p>
    <w:p w14:paraId="1155D341">
      <w:r>
        <w:rPr>
          <w:rFonts w:ascii="Times New Roman" w:hAnsi="Times New Roman" w:eastAsia="仿宋_GB2312"/>
          <w:snapToGrid w:val="0"/>
          <w:color w:val="000000"/>
          <w:kern w:val="21"/>
          <w:sz w:val="32"/>
          <w:szCs w:val="32"/>
        </w:rPr>
        <w:t>6.机械化割堆收获是指使用甘蔗割堆机一次完成将甘蔗茎秆割断并可实现适量收集和自卸堆放的作业。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GM0YjkwZGFjYTI5MjE2M2RmN2Q4ZjBjOTk5YjIifQ=="/>
  </w:docVars>
  <w:rsids>
    <w:rsidRoot w:val="37224FD5"/>
    <w:rsid w:val="37224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firstLineChars="200"/>
      <w:jc w:val="both"/>
    </w:pPr>
    <w:rPr>
      <w:rFonts w:ascii="Calibri" w:hAnsi="Calibri" w:eastAsia="宋体" w:cs="Calibri"/>
      <w:kern w:val="2"/>
      <w:sz w:val="21"/>
      <w:szCs w:val="24"/>
      <w:lang w:val="en-US" w:eastAsia="zh-CN" w:bidi="ar-SA"/>
    </w:rPr>
  </w:style>
  <w:style w:type="paragraph" w:styleId="3">
    <w:name w:val="Normal (Web)"/>
    <w:basedOn w:val="1"/>
    <w:qFormat/>
    <w:uiPriority w:val="99"/>
    <w:pPr>
      <w:jc w:val="left"/>
    </w:pPr>
    <w:rPr>
      <w:rFonts w:ascii="Calibri" w:hAnsi="Calibri" w:eastAsia="宋体" w:cs="Times New Roman"/>
      <w:kern w:val="0"/>
      <w:sz w:val="24"/>
      <w:szCs w:val="24"/>
    </w:rPr>
  </w:style>
  <w:style w:type="paragraph" w:customStyle="1" w:styleId="6">
    <w:name w:val="Default"/>
    <w:basedOn w:val="7"/>
    <w:next w:val="1"/>
    <w:qFormat/>
    <w:uiPriority w:val="99"/>
    <w:pPr>
      <w:widowControl w:val="0"/>
      <w:autoSpaceDE w:val="0"/>
      <w:autoSpaceDN w:val="0"/>
      <w:adjustRightInd w:val="0"/>
    </w:pPr>
    <w:rPr>
      <w:rFonts w:ascii="方正仿宋_GBK" w:hAnsi="方正仿宋_GBK" w:eastAsia="方正仿宋_GBK" w:cs="Times New Roman"/>
      <w:color w:val="000000"/>
      <w:kern w:val="0"/>
      <w:sz w:val="24"/>
      <w:szCs w:val="20"/>
      <w:lang w:val="en-US" w:eastAsia="zh-CN" w:bidi="ar-SA"/>
    </w:rPr>
  </w:style>
  <w:style w:type="paragraph" w:customStyle="1" w:styleId="7">
    <w:name w:val="纯文本1"/>
    <w:basedOn w:val="1"/>
    <w:qFormat/>
    <w:uiPriority w:val="0"/>
    <w:pPr>
      <w:textAlignment w:val="baseline"/>
    </w:pPr>
    <w:rPr>
      <w:rFonts w:ascii="宋体" w:hAnsi="Courier New"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2024-09-26T08:46:00Z</dcterms:created>
  <dc:creator>陶洁</dc:creator>
  <cp:lastModifiedBy>陶洁</cp:lastModifiedBy>
  <dcterms:modified xsi:type="dcterms:W3CDTF">2024-09-26T08:53:44Z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481B2637BEF84EC0A0D56739F1779FB9_11</vt:lpwstr>
  </property>
</Properties>
</file>