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F8CB8">
      <w:pPr>
        <w:rPr>
          <w:rFonts w:hint="default" w:ascii="黑体" w:hAnsi="黑体" w:eastAsia="黑体" w:cs="黑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default" w:ascii="黑体" w:hAnsi="黑体" w:eastAsia="黑体" w:cs="黑体"/>
          <w:kern w:val="0"/>
          <w:sz w:val="32"/>
          <w:szCs w:val="32"/>
          <w:lang w:val="en"/>
        </w:rPr>
        <w:t>3</w:t>
      </w:r>
    </w:p>
    <w:p w14:paraId="20433EEE"/>
    <w:p w14:paraId="49436DB1">
      <w:pPr>
        <w:widowControl/>
        <w:spacing w:line="580" w:lineRule="exact"/>
        <w:jc w:val="center"/>
        <w:rPr>
          <w:rFonts w:hint="default" w:ascii="方正小标宋简体" w:hAnsi="Calibri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b w:val="0"/>
          <w:bCs w:val="0"/>
          <w:sz w:val="44"/>
          <w:szCs w:val="44"/>
        </w:rPr>
        <w:t>广西壮族自治区农业机械</w:t>
      </w:r>
      <w:r>
        <w:rPr>
          <w:rFonts w:hint="default" w:ascii="方正小标宋简体" w:hAnsi="Calibri" w:eastAsia="方正小标宋简体" w:cs="方正小标宋简体"/>
          <w:b w:val="0"/>
          <w:bCs w:val="0"/>
          <w:sz w:val="44"/>
          <w:szCs w:val="44"/>
        </w:rPr>
        <w:t>试验鉴定更换证书产品及其生产企业目录</w:t>
      </w:r>
    </w:p>
    <w:p w14:paraId="25978975">
      <w:pPr>
        <w:widowControl/>
        <w:spacing w:line="580" w:lineRule="exact"/>
        <w:jc w:val="center"/>
        <w:rPr>
          <w:rFonts w:hint="default" w:ascii="方正小标宋简体" w:hAnsi="Calibri" w:eastAsia="方正小标宋简体" w:cs="方正小标宋简体"/>
          <w:b w:val="0"/>
          <w:bCs w:val="0"/>
          <w:sz w:val="44"/>
          <w:szCs w:val="44"/>
        </w:rPr>
      </w:pPr>
      <w:r>
        <w:rPr>
          <w:rFonts w:hint="default" w:ascii="方正小标宋简体" w:hAnsi="Calibri" w:eastAsia="方正小标宋简体" w:cs="方正小标宋简体"/>
          <w:b w:val="0"/>
          <w:bCs w:val="0"/>
          <w:sz w:val="44"/>
          <w:szCs w:val="44"/>
        </w:rPr>
        <w:t>（</w:t>
      </w:r>
      <w:r>
        <w:rPr>
          <w:rFonts w:hint="eastAsia" w:ascii="方正小标宋简体" w:hAnsi="Calibri" w:eastAsia="方正小标宋简体" w:cs="方正小标宋简体"/>
          <w:b w:val="0"/>
          <w:bCs w:val="0"/>
          <w:sz w:val="44"/>
          <w:szCs w:val="44"/>
        </w:rPr>
        <w:t>2025</w:t>
      </w:r>
      <w:r>
        <w:rPr>
          <w:rFonts w:hint="default" w:ascii="方正小标宋简体" w:hAnsi="Calibri" w:eastAsia="方正小标宋简体" w:cs="方正小标宋简体"/>
          <w:b w:val="0"/>
          <w:bCs w:val="0"/>
          <w:sz w:val="44"/>
          <w:szCs w:val="44"/>
        </w:rPr>
        <w:t>年第</w:t>
      </w:r>
      <w:r>
        <w:rPr>
          <w:rFonts w:hint="default" w:ascii="方正小标宋简体" w:hAnsi="Calibri" w:eastAsia="方正小标宋简体" w:cs="方正小标宋简体"/>
          <w:b w:val="0"/>
          <w:bCs w:val="0"/>
          <w:sz w:val="44"/>
          <w:szCs w:val="44"/>
          <w:lang w:eastAsia="zh-CN"/>
        </w:rPr>
        <w:t>六</w:t>
      </w:r>
      <w:r>
        <w:rPr>
          <w:rFonts w:hint="default" w:ascii="方正小标宋简体" w:hAnsi="Calibri" w:eastAsia="方正小标宋简体" w:cs="方正小标宋简体"/>
          <w:b w:val="0"/>
          <w:bCs w:val="0"/>
          <w:sz w:val="44"/>
          <w:szCs w:val="44"/>
        </w:rPr>
        <w:t>批）</w:t>
      </w:r>
    </w:p>
    <w:p w14:paraId="41DDE774">
      <w:pPr>
        <w:pStyle w:val="4"/>
        <w:ind w:firstLine="420"/>
      </w:pPr>
    </w:p>
    <w:tbl>
      <w:tblPr>
        <w:tblStyle w:val="5"/>
        <w:tblW w:w="1488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891"/>
        <w:gridCol w:w="1701"/>
        <w:gridCol w:w="851"/>
        <w:gridCol w:w="1701"/>
        <w:gridCol w:w="709"/>
        <w:gridCol w:w="850"/>
        <w:gridCol w:w="851"/>
        <w:gridCol w:w="850"/>
        <w:gridCol w:w="1276"/>
        <w:gridCol w:w="1276"/>
        <w:gridCol w:w="1134"/>
        <w:gridCol w:w="1134"/>
        <w:gridCol w:w="1134"/>
      </w:tblGrid>
      <w:tr w14:paraId="4C97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tblHeader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BC02A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序号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5471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生产者名称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58BF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生产者</w:t>
            </w:r>
          </w:p>
          <w:p w14:paraId="476DC7D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5D15B2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</w:t>
            </w:r>
          </w:p>
          <w:p w14:paraId="55326A8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168A3A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</w:t>
            </w:r>
          </w:p>
          <w:p w14:paraId="0AF7770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567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45C896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</w:t>
            </w:r>
          </w:p>
          <w:p w14:paraId="29A49496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型号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95F067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涵盖</w:t>
            </w:r>
          </w:p>
          <w:p w14:paraId="25101018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FB68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所属品目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505F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证书</w:t>
            </w:r>
          </w:p>
          <w:p w14:paraId="7E0C398E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FF9D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有效期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0E89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鉴定报告编号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FF45E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</w:t>
            </w:r>
          </w:p>
          <w:p w14:paraId="2BA9C582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机构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D8009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</w:t>
            </w:r>
          </w:p>
          <w:p w14:paraId="49C3E70A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大纲</w:t>
            </w:r>
          </w:p>
        </w:tc>
      </w:tr>
      <w:tr w14:paraId="3EDC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A776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33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山东省潍坊市坊子区经济发展区武建家南首179号（原：山东省潍坊市坊子区经济发展区武建家村村南）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44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21E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山东省潍坊市坊子区经济发展区武建家南首179号（原：山东省潍坊市坊子区经济发展区武建家村村南）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5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手扶式水稻插秧机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FE6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2ZS-4G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8E62E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48B1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C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T202045450122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AA8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202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5</w:t>
            </w:r>
            <w:r>
              <w:rPr>
                <w:rFonts w:ascii="宋体" w:hAnsi="宋体" w:cs="Tahoma"/>
                <w:szCs w:val="21"/>
              </w:rPr>
              <w:t>-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10</w:t>
            </w:r>
            <w:r>
              <w:rPr>
                <w:rFonts w:ascii="宋体" w:hAnsi="宋体" w:cs="Tahoma"/>
                <w:szCs w:val="21"/>
              </w:rPr>
              <w:t>-28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T2020129G1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8AC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D5B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/>
                <w:kern w:val="0"/>
                <w:szCs w:val="21"/>
              </w:rPr>
              <w:t xml:space="preserve">DG/T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008</w:t>
            </w:r>
            <w:r>
              <w:rPr>
                <w:rFonts w:ascii="宋体" w:hAnsi="宋体"/>
                <w:kern w:val="0"/>
                <w:szCs w:val="21"/>
              </w:rPr>
              <w:t>-2022</w:t>
            </w:r>
            <w:r>
              <w:rPr>
                <w:rFonts w:hint="eastAsia" w:ascii="宋体" w:hAnsi="宋体" w:cs="Tahoma"/>
                <w:kern w:val="0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  <w:lang w:eastAsia="zh-CN"/>
              </w:rPr>
              <w:t>插秧机</w:t>
            </w:r>
            <w:r>
              <w:rPr>
                <w:rFonts w:hint="eastAsia" w:ascii="宋体" w:hAnsi="宋体" w:cs="Tahoma"/>
                <w:kern w:val="0"/>
                <w:szCs w:val="21"/>
              </w:rPr>
              <w:t>》</w:t>
            </w:r>
          </w:p>
          <w:p w14:paraId="41A432A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14F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AB52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F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山东省潍坊市坊子区经济发展区武建家南首179号（原：山东省潍坊市坊子区经济发展区武建家村村南）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44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337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山东省潍坊市坊子区经济发展区武建家南首179号（原：山东省潍坊市坊子区经济发展区武建家村村南）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EB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手扶式水稻插秧机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61F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2ZS-6G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6B3A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1A98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0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T202045450123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2FC0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202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5</w:t>
            </w:r>
            <w:r>
              <w:rPr>
                <w:rFonts w:ascii="宋体" w:hAnsi="宋体" w:cs="Tahoma"/>
                <w:szCs w:val="21"/>
              </w:rPr>
              <w:t>-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10</w:t>
            </w:r>
            <w:r>
              <w:rPr>
                <w:rFonts w:ascii="宋体" w:hAnsi="宋体" w:cs="Tahoma"/>
                <w:szCs w:val="21"/>
              </w:rPr>
              <w:t>-28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T2020130G1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9F4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247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/>
                <w:kern w:val="0"/>
                <w:szCs w:val="21"/>
              </w:rPr>
              <w:t xml:space="preserve">DG/T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008</w:t>
            </w:r>
            <w:r>
              <w:rPr>
                <w:rFonts w:ascii="宋体" w:hAnsi="宋体"/>
                <w:kern w:val="0"/>
                <w:szCs w:val="21"/>
              </w:rPr>
              <w:t>-2022</w:t>
            </w:r>
            <w:r>
              <w:rPr>
                <w:rFonts w:hint="eastAsia" w:ascii="宋体" w:hAnsi="宋体" w:cs="Tahoma"/>
                <w:kern w:val="0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  <w:lang w:eastAsia="zh-CN"/>
              </w:rPr>
              <w:t>插秧机</w:t>
            </w:r>
            <w:r>
              <w:rPr>
                <w:rFonts w:hint="eastAsia" w:ascii="宋体" w:hAnsi="宋体" w:cs="Tahoma"/>
                <w:kern w:val="0"/>
                <w:szCs w:val="21"/>
              </w:rPr>
              <w:t>》</w:t>
            </w:r>
          </w:p>
          <w:p w14:paraId="0F8C1CC6">
            <w:pPr>
              <w:spacing w:line="240" w:lineRule="exac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</w:p>
        </w:tc>
      </w:tr>
      <w:tr w14:paraId="4E55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EF6D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B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广西奋进智能农机装备有限责任公司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F8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柳州市城中区学院路50号鑫中联大厦1栋1单元7-17-96（原：柳州市阳和工业新区阳泰路东2号C-10车间、办公楼2栋2-1号）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F38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广西奋进智能农机装备有限责任公司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CC6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柳州市城中区学院路50号鑫中联大厦1栋1单元7-17-96（原：柳州市阳和工业新区阳泰路东2号C-10车间、办公楼2栋2-1号）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6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甘蔗除杂设备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6F6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6CZZ-10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882EF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2CCB">
            <w:pPr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甘蔗除杂设备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D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Z202445450006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2027-10-29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3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桂Z2024007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CEA3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0FD91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DG45/Z 011-2024《甘蔗除杂设备》</w:t>
            </w:r>
          </w:p>
        </w:tc>
      </w:tr>
      <w:tr w14:paraId="3ADF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CB78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B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杭州赛得林智能装备有限公司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5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浙江省杭州市富阳区银湖街道高尔夫路168-2号（原：浙江省杭州市富阳区东洲街道明星路3号）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1E4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杭州赛得林智能装备有限公司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4AD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浙江省杭州市富阳区银湖街道高尔夫路168-2号（原：浙江省杭州市富阳区东洲街道明星路3号）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98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秧盘播种成套设备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BC2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2BPD-500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9056A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6CA6">
            <w:pPr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育秧（苗）播种设备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FE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T202145450073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C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C7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桂T2021130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2DA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901D0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DG/T 074-2024《秧盘播种成套设备》</w:t>
            </w:r>
          </w:p>
        </w:tc>
      </w:tr>
      <w:tr w14:paraId="792B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D0C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B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杭州赛得林智能装备有限公司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2A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浙江省杭州市富阳区银湖街道高尔夫路168-2号（原：浙江省杭州市富阳区东洲街道明星路3号）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B7E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杭州赛得林智能装备有限公司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D66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浙江省杭州市富阳区银湖街道高尔夫路168-2号（原：浙江省杭州市富阳区东洲街道明星路3号）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52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秧盘播种成套设备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E0A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2BPC-1000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3DCA2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8A02">
            <w:pPr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育秧（苗）播种设备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4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T202145450074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2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8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桂T2021145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762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9BE7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DG/T 074-2024《秧盘播种成套设备》</w:t>
            </w:r>
          </w:p>
        </w:tc>
      </w:tr>
      <w:tr w14:paraId="1997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4EC4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C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杭州赛得林智能装备有限公司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6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浙江省杭州市富阳区银湖街道高尔夫路168-2号（原：浙江省杭州市富阳区东洲街道明星路3号）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BF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杭州赛得林智能装备有限公司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18C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浙江省杭州市富阳区银湖街道高尔夫路168-2号（原：浙江省杭州市富阳区东洲街道明星路3号）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8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秧盘播种成套设备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DF7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2BPC-500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B7E6C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8721">
            <w:pPr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育秧（苗）播种设备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EF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T202145450150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2026-11-18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F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桂T2021179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1197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2D5D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DG/T 074-2024《秧盘播种成套设备》</w:t>
            </w:r>
          </w:p>
        </w:tc>
      </w:tr>
    </w:tbl>
    <w:p w14:paraId="09F51F57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03FCE1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26686"/>
    <w:rsid w:val="03E2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">
    <w:name w:val="font21"/>
    <w:basedOn w:val="6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2025-10-30T02:27:00Z</dcterms:created>
  <dc:creator>陶洁</dc:creator>
  <cp:lastModifiedBy>陶洁</cp:lastModifiedBy>
  <dcterms:modified xsi:type="dcterms:W3CDTF">2025-10-30T02:28:19Z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D6558416428043E886612371824823A2_11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